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12076" w14:textId="77777777" w:rsidR="001F1B2D" w:rsidRPr="00633C86" w:rsidRDefault="001F1B2D" w:rsidP="001F1B2D">
      <w:pPr>
        <w:rPr>
          <w:rFonts w:ascii="Times New Roman" w:hAnsi="Times New Roman" w:cs="Times New Roman"/>
          <w:lang w:val="en-US"/>
        </w:rPr>
      </w:pPr>
      <w:r w:rsidRPr="00633C86">
        <w:rPr>
          <w:rFonts w:ascii="Times New Roman" w:hAnsi="Times New Roman" w:cs="Times New Roman"/>
          <w:b/>
          <w:bCs/>
          <w:lang w:val="en-US"/>
        </w:rPr>
        <w:t xml:space="preserve">Table 3 </w:t>
      </w:r>
      <w:r w:rsidRPr="00633C86">
        <w:rPr>
          <w:rFonts w:ascii="Times New Roman" w:hAnsi="Times New Roman" w:cs="Times New Roman"/>
          <w:lang w:val="en-US"/>
        </w:rPr>
        <w:t>The association between “oxidative stress” and measures of diabetic neuropathy.</w:t>
      </w:r>
    </w:p>
    <w:tbl>
      <w:tblPr>
        <w:tblStyle w:val="Lysskygge-markeringsfarve11"/>
        <w:tblW w:w="5000" w:type="pct"/>
        <w:tblLook w:val="0660" w:firstRow="1" w:lastRow="1" w:firstColumn="0" w:lastColumn="0" w:noHBand="1" w:noVBand="1"/>
      </w:tblPr>
      <w:tblGrid>
        <w:gridCol w:w="2409"/>
        <w:gridCol w:w="2409"/>
        <w:gridCol w:w="2410"/>
        <w:gridCol w:w="2410"/>
      </w:tblGrid>
      <w:tr w:rsidR="001F1B2D" w:rsidRPr="00633C86" w14:paraId="59672828" w14:textId="77777777" w:rsidTr="00E63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  <w:noWrap/>
          </w:tcPr>
          <w:p w14:paraId="17F7183A" w14:textId="77777777" w:rsidR="001F1B2D" w:rsidRPr="00633C86" w:rsidRDefault="001F1B2D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250" w:type="pct"/>
          </w:tcPr>
          <w:p w14:paraId="7D6915E0" w14:textId="77777777" w:rsidR="001F1B2D" w:rsidRPr="00633C86" w:rsidRDefault="001F1B2D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1</w:t>
            </w:r>
          </w:p>
        </w:tc>
        <w:tc>
          <w:tcPr>
            <w:tcW w:w="1250" w:type="pct"/>
          </w:tcPr>
          <w:p w14:paraId="4379240B" w14:textId="77777777" w:rsidR="001F1B2D" w:rsidRPr="00633C86" w:rsidRDefault="001F1B2D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 xml:space="preserve">Model 2 </w:t>
            </w:r>
          </w:p>
        </w:tc>
        <w:tc>
          <w:tcPr>
            <w:tcW w:w="1250" w:type="pct"/>
          </w:tcPr>
          <w:p w14:paraId="1968829B" w14:textId="77777777" w:rsidR="001F1B2D" w:rsidRPr="00633C86" w:rsidRDefault="001F1B2D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3</w:t>
            </w:r>
          </w:p>
        </w:tc>
      </w:tr>
      <w:tr w:rsidR="001F1B2D" w:rsidRPr="00633C86" w14:paraId="60B39490" w14:textId="77777777" w:rsidTr="00E6336D">
        <w:tc>
          <w:tcPr>
            <w:tcW w:w="1250" w:type="pct"/>
            <w:noWrap/>
          </w:tcPr>
          <w:p w14:paraId="657C7B0B" w14:textId="77777777" w:rsidR="001F1B2D" w:rsidRPr="00633C86" w:rsidRDefault="001F1B2D" w:rsidP="00E6336D">
            <w:pPr>
              <w:spacing w:line="360" w:lineRule="auto"/>
              <w:rPr>
                <w:rStyle w:val="Svagfremhvning"/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Style w:val="Svagfremhvning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br/>
              <w:t>CAN Measures</w:t>
            </w:r>
          </w:p>
        </w:tc>
        <w:tc>
          <w:tcPr>
            <w:tcW w:w="1250" w:type="pct"/>
          </w:tcPr>
          <w:p w14:paraId="73894024" w14:textId="77777777" w:rsidR="001F1B2D" w:rsidRPr="00633C86" w:rsidRDefault="001F1B2D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736E9B89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br/>
              <w:t>Estimate (95% CI)</w:t>
            </w:r>
          </w:p>
        </w:tc>
        <w:tc>
          <w:tcPr>
            <w:tcW w:w="1250" w:type="pct"/>
          </w:tcPr>
          <w:p w14:paraId="7551DDB6" w14:textId="77777777" w:rsidR="001F1B2D" w:rsidRPr="00633C86" w:rsidRDefault="001F1B2D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 w:rsidR="001F1B2D" w:rsidRPr="00633C86" w14:paraId="509E0B87" w14:textId="77777777" w:rsidTr="00E6336D">
        <w:tc>
          <w:tcPr>
            <w:tcW w:w="1250" w:type="pct"/>
            <w:noWrap/>
          </w:tcPr>
          <w:p w14:paraId="6457457B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Heart rate</w:t>
            </w:r>
          </w:p>
          <w:p w14:paraId="0311727A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Lying to standing (30:15)</w:t>
            </w:r>
          </w:p>
          <w:p w14:paraId="4F617049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Deep breathing (E/I)</w:t>
            </w:r>
          </w:p>
          <w:p w14:paraId="681D82AD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Valsalva Maneuver (VM)</w:t>
            </w:r>
          </w:p>
          <w:p w14:paraId="4F2B15BE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SDNN</w:t>
            </w:r>
          </w:p>
          <w:p w14:paraId="42EDED45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RMSSD</w:t>
            </w:r>
          </w:p>
          <w:p w14:paraId="3CB44257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</w:t>
            </w:r>
          </w:p>
          <w:p w14:paraId="6A61C803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HF</w:t>
            </w:r>
          </w:p>
          <w:p w14:paraId="44431513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LF/HF ratio</w:t>
            </w:r>
          </w:p>
          <w:p w14:paraId="5C8C48A7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Total</w:t>
            </w:r>
          </w:p>
          <w:p w14:paraId="0CCC04D7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DSPN Measures</w:t>
            </w:r>
          </w:p>
          <w:p w14:paraId="09E25B3D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VPT</w:t>
            </w:r>
          </w:p>
          <w:p w14:paraId="4BD2F04D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SNAP</w:t>
            </w:r>
          </w:p>
          <w:p w14:paraId="76599C33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SNCV</w:t>
            </w:r>
          </w:p>
          <w:p w14:paraId="66CA55BF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– hands</w:t>
            </w:r>
          </w:p>
          <w:p w14:paraId="7B487F16" w14:textId="77777777" w:rsidR="001F1B2D" w:rsidRPr="00633C86" w:rsidRDefault="001F1B2D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- feet</w:t>
            </w:r>
          </w:p>
        </w:tc>
        <w:tc>
          <w:tcPr>
            <w:tcW w:w="1250" w:type="pct"/>
          </w:tcPr>
          <w:p w14:paraId="2740751E" w14:textId="77777777" w:rsidR="001F1B2D" w:rsidRPr="00633C86" w:rsidRDefault="001F1B2D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-0.19 (-2.27;1.89)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0.01 (-0.03:0.04)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0.02 (-0.0141;0.06)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-0.02 (-0.08;0.04)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2.14 (-5.63;10.55)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0.91 (-9.16;12.09)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6.56 (-12.41;29.63)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4.40 (-13.68;26.27)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2.07 (-9.58;15.21)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3.43 (-12.58;22.38)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0.68 (-4.86;6.55)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1.94 (-4.70;9.04)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0.05 (-0.68;0.77)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1.52 (-0.49;3.56)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 0.49 (-0.98;1.98)</w:t>
            </w:r>
          </w:p>
        </w:tc>
        <w:tc>
          <w:tcPr>
            <w:tcW w:w="1250" w:type="pct"/>
          </w:tcPr>
          <w:p w14:paraId="6ED9B8C4" w14:textId="77777777" w:rsidR="001F1B2D" w:rsidRPr="00633C86" w:rsidRDefault="001F1B2D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-0.12 (-2.16;1.92)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0.01 (-0.03:0.04)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0.02 (-0.02;0.06)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-0.02 (-0.08;0.04)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1.61 (-5.629;9.41)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0.34 (-9.25;10.94)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5.47 (-12.42;27.01)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3.20 (-13.85;23.63)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2.20 (-9.45;15.36)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2.29 (-12.66;19.79)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0.81 (-4.74;6.68)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1.73 (-4.71;8.59)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-0.03 (-0.70;0.64)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1.64 (-0.35;3.66)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0.49 (-0.98;1.98)</w:t>
            </w:r>
          </w:p>
        </w:tc>
        <w:tc>
          <w:tcPr>
            <w:tcW w:w="1250" w:type="pct"/>
          </w:tcPr>
          <w:p w14:paraId="3192323D" w14:textId="77777777" w:rsidR="001F1B2D" w:rsidRPr="00633C86" w:rsidRDefault="001F1B2D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-0.44 (-2.46;1.59)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0.01 (-0.03;0.04)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0.02 (-0.01;0.06)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-0.02 (-0.08;0.04)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2.01 (-5.19;9.77)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0.93 (-8.57;11.41)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6.85 (-11.04;28.33) 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2.34 (-14.35;22.30)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4.40 (-7.32;17.60)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3.22 (-11.75;20.74)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0.95 (-4.52;6.72)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2.14 (-4.32;9.04)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-0.12 (-0.80;0.55)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1.49 (-0.49;3.51)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0.41 (-1.06;1.89)</w:t>
            </w:r>
          </w:p>
        </w:tc>
      </w:tr>
      <w:tr w:rsidR="001F1B2D" w:rsidRPr="001F1B2D" w14:paraId="0D04C66D" w14:textId="77777777" w:rsidTr="00E633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noWrap/>
          </w:tcPr>
          <w:p w14:paraId="5A2D0AD0" w14:textId="4F8E6A4A" w:rsidR="001F1B2D" w:rsidRPr="00633C86" w:rsidRDefault="001F1B2D" w:rsidP="00E6336D">
            <w:pPr>
              <w:pStyle w:val="DecimalAligned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</w:pP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Results are presented as estimates. Estimates show the percentage change in the outcomes for every 1-unit change of “oxidative stress” </w:t>
            </w:r>
            <w:r w:rsidRPr="00633C86">
              <w:rPr>
                <w:rFonts w:ascii="Times New Roman" w:hAnsi="Times New Roman"/>
                <w:b w:val="0"/>
                <w:bCs w:val="0"/>
                <w:color w:val="auto"/>
                <w:sz w:val="18"/>
                <w:szCs w:val="18"/>
                <w:lang w:val="en-US"/>
              </w:rPr>
              <w:t>((% change (95% CI)).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Model 1 adjusted for age and gender, model 2 adjusted as model 1 + diabetes duration and HbA</w:t>
            </w:r>
            <w:r w:rsidRPr="00994E49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vertAlign w:val="subscript"/>
                <w:lang w:val="en-US"/>
              </w:rPr>
              <w:t>1c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, model 3 adjusted as model 2 + current smoking, total cholesterol, triglycerides, systolic blood pressure and the use of beta blockers.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 xml:space="preserve">CAN, cardiovascular autonomic neuropathy; </w:t>
            </w:r>
            <w:r w:rsidRPr="001F1B2D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HR, heart rate; 30:15, lying-to-standing test; E:I, deep breathing test; VM, Valsalva </w:t>
            </w:r>
            <w:proofErr w:type="spellStart"/>
            <w:r w:rsidRPr="001F1B2D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Manoeuvre</w:t>
            </w:r>
            <w:proofErr w:type="spellEnd"/>
            <w:r>
              <w:rPr>
                <w:rFonts w:ascii="Times New Roman" w:hAnsi="Times New Roman"/>
                <w:i/>
                <w:iCs/>
                <w:color w:val="auto"/>
                <w:sz w:val="18"/>
                <w:szCs w:val="18"/>
                <w:lang w:val="en-US"/>
              </w:rPr>
              <w:t xml:space="preserve">; 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SDNN, standard deviation of normal-to-normal intervals; RMSSD, root mean square of the sum of the squares of differences between consecutive R-R intervals; LF, low-frequency power; HF, high-frequency power; DSPN, distal symmetric polyneuropathy; VPT, vibration perception threshold; SNAP, sural nerve amplitude potential; SNCV, sural nerve conduction velocity; ESC, electrochemical skin conduction.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*P &lt; 0.05.</w:t>
            </w:r>
          </w:p>
        </w:tc>
      </w:tr>
    </w:tbl>
    <w:p w14:paraId="0B3CF68D" w14:textId="77777777" w:rsidR="001F1B2D" w:rsidRPr="00633C86" w:rsidRDefault="001F1B2D" w:rsidP="001F1B2D">
      <w:pPr>
        <w:jc w:val="both"/>
        <w:rPr>
          <w:rFonts w:ascii="Times New Roman" w:hAnsi="Times New Roman" w:cs="Times New Roman"/>
          <w:lang w:val="en-US"/>
        </w:rPr>
      </w:pPr>
    </w:p>
    <w:p w14:paraId="7712782C" w14:textId="77777777" w:rsidR="001D4850" w:rsidRPr="001F1B2D" w:rsidRDefault="001D4850">
      <w:pPr>
        <w:rPr>
          <w:lang w:val="en-US"/>
        </w:rPr>
      </w:pPr>
    </w:p>
    <w:sectPr w:rsidR="001D4850" w:rsidRPr="001F1B2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2D"/>
    <w:rsid w:val="001D4850"/>
    <w:rsid w:val="001F1B2D"/>
    <w:rsid w:val="002913AB"/>
    <w:rsid w:val="002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5619"/>
  <w15:chartTrackingRefBased/>
  <w15:docId w15:val="{165E9DB6-0D7B-47F0-A44E-F28E9EB0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2D"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1F1B2D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a-DK"/>
    </w:rPr>
  </w:style>
  <w:style w:type="character" w:styleId="Svagfremhvning">
    <w:name w:val="Subtle Emphasis"/>
    <w:basedOn w:val="Standardskrifttypeiafsnit"/>
    <w:uiPriority w:val="19"/>
    <w:qFormat/>
    <w:rsid w:val="001F1B2D"/>
    <w:rPr>
      <w:i/>
      <w:iCs/>
    </w:rPr>
  </w:style>
  <w:style w:type="table" w:customStyle="1" w:styleId="Lysskygge-markeringsfarve11">
    <w:name w:val="Lys skygge - markeringsfarve 11"/>
    <w:basedOn w:val="Tabel-Normal"/>
    <w:uiPriority w:val="60"/>
    <w:rsid w:val="001F1B2D"/>
    <w:pPr>
      <w:spacing w:after="0" w:line="240" w:lineRule="auto"/>
    </w:pPr>
    <w:rPr>
      <w:rFonts w:eastAsiaTheme="minorEastAsia"/>
      <w:color w:val="2F5496" w:themeColor="accent1" w:themeShade="BF"/>
      <w:lang w:eastAsia="da-DK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Elaf Fadhil Al-Saoudi</dc:creator>
  <cp:keywords/>
  <dc:description/>
  <cp:lastModifiedBy>Elaf Fadhil Al-Saoudi</cp:lastModifiedBy>
  <cp:revision>1</cp:revision>
  <dcterms:created xsi:type="dcterms:W3CDTF">2022-10-05T10:52:00Z</dcterms:created>
  <dcterms:modified xsi:type="dcterms:W3CDTF">2022-10-05T10:53:00Z</dcterms:modified>
</cp:coreProperties>
</file>